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49" w:rsidRDefault="00DA5849" w:rsidP="00D77B0B">
      <w:pPr>
        <w:pStyle w:val="1NUSbodycopy"/>
      </w:pPr>
    </w:p>
    <w:p w:rsidR="004A0724" w:rsidRDefault="004A0724" w:rsidP="00D77B0B">
      <w:pPr>
        <w:pStyle w:val="1NUSbodycopy"/>
      </w:pPr>
    </w:p>
    <w:tbl>
      <w:tblPr>
        <w:tblStyle w:val="TableGrid"/>
        <w:tblW w:w="0" w:type="auto"/>
        <w:tblLook w:val="04A0" w:firstRow="1" w:lastRow="0" w:firstColumn="1" w:lastColumn="0" w:noHBand="0" w:noVBand="1"/>
      </w:tblPr>
      <w:tblGrid>
        <w:gridCol w:w="3539"/>
        <w:gridCol w:w="5515"/>
      </w:tblGrid>
      <w:tr w:rsidR="004A0724" w:rsidRPr="004A0724" w:rsidTr="005B5C22">
        <w:tc>
          <w:tcPr>
            <w:tcW w:w="3539"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Document Title:</w:t>
            </w:r>
          </w:p>
        </w:tc>
        <w:tc>
          <w:tcPr>
            <w:tcW w:w="5515"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Ethical Supply Chain Screening Process</w:t>
            </w:r>
          </w:p>
        </w:tc>
      </w:tr>
      <w:tr w:rsidR="004A0724" w:rsidRPr="004A0724" w:rsidTr="005B5C22">
        <w:tc>
          <w:tcPr>
            <w:tcW w:w="3539"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Information or Procedure</w:t>
            </w:r>
          </w:p>
        </w:tc>
        <w:tc>
          <w:tcPr>
            <w:tcW w:w="5515"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Procedure</w:t>
            </w:r>
          </w:p>
        </w:tc>
      </w:tr>
      <w:tr w:rsidR="004A0724" w:rsidRPr="004A0724" w:rsidTr="005B5C22">
        <w:tc>
          <w:tcPr>
            <w:tcW w:w="3539"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Created by:</w:t>
            </w:r>
          </w:p>
        </w:tc>
        <w:tc>
          <w:tcPr>
            <w:tcW w:w="5515"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Nicola Cooper</w:t>
            </w:r>
          </w:p>
        </w:tc>
      </w:tr>
      <w:tr w:rsidR="004A0724" w:rsidRPr="004A0724" w:rsidTr="005B5C22">
        <w:tc>
          <w:tcPr>
            <w:tcW w:w="3539"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Created on:</w:t>
            </w:r>
          </w:p>
        </w:tc>
        <w:tc>
          <w:tcPr>
            <w:tcW w:w="5515"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19/11/2013</w:t>
            </w:r>
          </w:p>
        </w:tc>
      </w:tr>
      <w:tr w:rsidR="004A0724" w:rsidRPr="004A0724" w:rsidTr="005B5C22">
        <w:tc>
          <w:tcPr>
            <w:tcW w:w="3539"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Date Reviewed:</w:t>
            </w:r>
          </w:p>
        </w:tc>
        <w:tc>
          <w:tcPr>
            <w:tcW w:w="5515" w:type="dxa"/>
          </w:tcPr>
          <w:p w:rsidR="004A0724" w:rsidRPr="004A0724" w:rsidRDefault="004A0724" w:rsidP="005B5C22">
            <w:pPr>
              <w:jc w:val="both"/>
              <w:rPr>
                <w:rFonts w:eastAsia="Times New Roman" w:cs="Arial"/>
                <w:b/>
                <w:sz w:val="18"/>
                <w:szCs w:val="18"/>
                <w:lang w:val="en-GB"/>
              </w:rPr>
            </w:pPr>
          </w:p>
        </w:tc>
      </w:tr>
      <w:tr w:rsidR="004A0724" w:rsidRPr="004A0724" w:rsidTr="005B5C22">
        <w:tc>
          <w:tcPr>
            <w:tcW w:w="3539" w:type="dxa"/>
          </w:tcPr>
          <w:p w:rsidR="004A0724" w:rsidRPr="004A0724" w:rsidRDefault="004A0724" w:rsidP="005B5C22">
            <w:pPr>
              <w:jc w:val="both"/>
              <w:rPr>
                <w:rFonts w:eastAsia="Times New Roman" w:cs="Arial"/>
                <w:b/>
                <w:sz w:val="18"/>
                <w:szCs w:val="18"/>
                <w:lang w:val="en-GB"/>
              </w:rPr>
            </w:pPr>
            <w:r w:rsidRPr="004A0724">
              <w:rPr>
                <w:rFonts w:eastAsia="Times New Roman" w:cs="Arial"/>
                <w:b/>
                <w:sz w:val="18"/>
                <w:szCs w:val="18"/>
                <w:lang w:val="en-GB"/>
              </w:rPr>
              <w:t>Next Review:</w:t>
            </w:r>
          </w:p>
        </w:tc>
        <w:tc>
          <w:tcPr>
            <w:tcW w:w="5515" w:type="dxa"/>
          </w:tcPr>
          <w:p w:rsidR="004A0724" w:rsidRPr="004A0724" w:rsidRDefault="004A0724" w:rsidP="005B5C22">
            <w:pPr>
              <w:jc w:val="both"/>
              <w:rPr>
                <w:rFonts w:eastAsia="Times New Roman" w:cs="Arial"/>
                <w:b/>
                <w:sz w:val="18"/>
                <w:szCs w:val="18"/>
                <w:lang w:val="en-GB"/>
              </w:rPr>
            </w:pPr>
          </w:p>
        </w:tc>
      </w:tr>
    </w:tbl>
    <w:p w:rsidR="00DA5849" w:rsidRDefault="00DA5849" w:rsidP="00D77B0B">
      <w:pPr>
        <w:pStyle w:val="1NUSbodycopy"/>
      </w:pPr>
    </w:p>
    <w:p w:rsidR="00DA5849" w:rsidRDefault="00DA5849" w:rsidP="00D77B0B">
      <w:pPr>
        <w:pStyle w:val="1NUSbodycopy"/>
      </w:pPr>
    </w:p>
    <w:p w:rsidR="00B26376" w:rsidRDefault="00B26376" w:rsidP="00B26376">
      <w:pPr>
        <w:rPr>
          <w:b/>
        </w:rPr>
      </w:pPr>
      <w:r>
        <w:rPr>
          <w:b/>
        </w:rPr>
        <w:t>Ethical Supply Chain Screening Process</w:t>
      </w:r>
    </w:p>
    <w:p w:rsidR="00B26376" w:rsidRDefault="00B26376" w:rsidP="00B26376">
      <w:pPr>
        <w:rPr>
          <w:b/>
        </w:rPr>
      </w:pPr>
    </w:p>
    <w:p w:rsidR="00B26376" w:rsidRDefault="00B26376" w:rsidP="00B26376">
      <w:pPr>
        <w:rPr>
          <w:b/>
        </w:rPr>
      </w:pPr>
      <w:r>
        <w:rPr>
          <w:b/>
        </w:rPr>
        <w:t>Overview</w:t>
      </w:r>
    </w:p>
    <w:p w:rsidR="00B26376" w:rsidRDefault="00B26376" w:rsidP="00B26376">
      <w:r>
        <w:t>Prior to entering into a formal commercial relationship with either purchasing consortium suppliers</w:t>
      </w:r>
      <w:r w:rsidR="00213608">
        <w:t xml:space="preserve"> or</w:t>
      </w:r>
      <w:r w:rsidR="00213608" w:rsidRPr="00213608">
        <w:t xml:space="preserve"> </w:t>
      </w:r>
      <w:r w:rsidR="00213608">
        <w:t>NUS extra partners</w:t>
      </w:r>
      <w:r>
        <w:t xml:space="preserve">, </w:t>
      </w:r>
      <w:r w:rsidRPr="00213608">
        <w:rPr>
          <w:lang w:val="en-GB"/>
        </w:rPr>
        <w:t>organisations</w:t>
      </w:r>
      <w:r>
        <w:t xml:space="preserve"> are screened to identify any potential areas of </w:t>
      </w:r>
      <w:r w:rsidR="00C672BA">
        <w:t xml:space="preserve">ethical </w:t>
      </w:r>
      <w:r>
        <w:t xml:space="preserve">concern. </w:t>
      </w:r>
      <w:r w:rsidR="00C672BA">
        <w:t xml:space="preserve">Screening is also done for other areas of the NUS Group when new commercial relationships are entered into. </w:t>
      </w:r>
    </w:p>
    <w:p w:rsidR="00B26376" w:rsidRDefault="00B26376" w:rsidP="00B26376"/>
    <w:p w:rsidR="00B26376" w:rsidRDefault="00B26376" w:rsidP="00B26376">
      <w:pPr>
        <w:rPr>
          <w:b/>
        </w:rPr>
      </w:pPr>
      <w:r>
        <w:rPr>
          <w:b/>
        </w:rPr>
        <w:t>Process</w:t>
      </w:r>
    </w:p>
    <w:p w:rsidR="00B26376" w:rsidRDefault="00B26376" w:rsidP="00B26376">
      <w:r>
        <w:t xml:space="preserve">All screening is recorded in </w:t>
      </w:r>
      <w:r w:rsidR="009558E3">
        <w:t>a</w:t>
      </w:r>
      <w:r>
        <w:t xml:space="preserve"> spread-sheet</w:t>
      </w:r>
      <w:r w:rsidR="009558E3">
        <w:t>.</w:t>
      </w:r>
      <w:r>
        <w:t xml:space="preserve"> This document should include the following: Company name; any previous company names; company type; website address; links to any potential issues of concern. </w:t>
      </w:r>
      <w:bookmarkStart w:id="0" w:name="_GoBack"/>
      <w:bookmarkEnd w:id="0"/>
    </w:p>
    <w:p w:rsidR="00B26376" w:rsidRDefault="00B26376" w:rsidP="00B26376"/>
    <w:p w:rsidR="00B26376" w:rsidRDefault="00B26376" w:rsidP="00B26376">
      <w:r>
        <w:t>When screening suppliers, the following steps are taken:</w:t>
      </w:r>
    </w:p>
    <w:p w:rsidR="00B26376" w:rsidRDefault="00B26376" w:rsidP="00B26376">
      <w:pPr>
        <w:pStyle w:val="ListParagraph"/>
        <w:numPr>
          <w:ilvl w:val="0"/>
          <w:numId w:val="1"/>
        </w:numPr>
      </w:pPr>
      <w:r>
        <w:t xml:space="preserve">Company name and ownership are determined (including any previous names). Companies House is used for this: </w:t>
      </w:r>
      <w:hyperlink r:id="rId7" w:history="1">
        <w:r w:rsidRPr="00E74037">
          <w:rPr>
            <w:rStyle w:val="Hyperlink"/>
          </w:rPr>
          <w:t>http://wck2.companieshouse.gov.uk//wcframe?name=accessCompanyInfo</w:t>
        </w:r>
      </w:hyperlink>
      <w:r>
        <w:t xml:space="preserve"> </w:t>
      </w:r>
    </w:p>
    <w:p w:rsidR="00B26376" w:rsidRDefault="00B26376" w:rsidP="00B26376">
      <w:pPr>
        <w:pStyle w:val="ListParagraph"/>
        <w:numPr>
          <w:ilvl w:val="0"/>
          <w:numId w:val="1"/>
        </w:numPr>
      </w:pPr>
      <w:r>
        <w:t>A number of specialist websites are checked to identify any areas of concern or historic campaigns against the company. These are:</w:t>
      </w:r>
    </w:p>
    <w:p w:rsidR="00B26376" w:rsidRDefault="004F1342" w:rsidP="00B26376">
      <w:pPr>
        <w:pStyle w:val="ListParagraph"/>
        <w:numPr>
          <w:ilvl w:val="1"/>
          <w:numId w:val="1"/>
        </w:numPr>
      </w:pPr>
      <w:hyperlink r:id="rId8" w:history="1">
        <w:r w:rsidR="00B26376" w:rsidRPr="00CC1E25">
          <w:rPr>
            <w:rStyle w:val="Hyperlink"/>
          </w:rPr>
          <w:t>http://www.corporatecritic.org/home.aspx</w:t>
        </w:r>
      </w:hyperlink>
    </w:p>
    <w:p w:rsidR="00B26376" w:rsidRDefault="004F1342" w:rsidP="00B26376">
      <w:pPr>
        <w:pStyle w:val="ListParagraph"/>
        <w:numPr>
          <w:ilvl w:val="1"/>
          <w:numId w:val="1"/>
        </w:numPr>
      </w:pPr>
      <w:hyperlink r:id="rId9" w:history="1">
        <w:r w:rsidR="00B26376" w:rsidRPr="00CC1E25">
          <w:rPr>
            <w:rStyle w:val="Hyperlink"/>
          </w:rPr>
          <w:t>http://www.ethicalconsumer.org/</w:t>
        </w:r>
      </w:hyperlink>
    </w:p>
    <w:p w:rsidR="00B26376" w:rsidRDefault="004F1342" w:rsidP="00B26376">
      <w:pPr>
        <w:pStyle w:val="ListParagraph"/>
        <w:numPr>
          <w:ilvl w:val="1"/>
          <w:numId w:val="1"/>
        </w:numPr>
      </w:pPr>
      <w:hyperlink r:id="rId10" w:history="1">
        <w:r w:rsidR="00B26376" w:rsidRPr="00CC1E25">
          <w:rPr>
            <w:rStyle w:val="Hyperlink"/>
          </w:rPr>
          <w:t>http://www.corporations.org/corplist.html</w:t>
        </w:r>
      </w:hyperlink>
    </w:p>
    <w:p w:rsidR="00B26376" w:rsidRDefault="004F1342" w:rsidP="00B26376">
      <w:pPr>
        <w:pStyle w:val="ListParagraph"/>
        <w:numPr>
          <w:ilvl w:val="1"/>
          <w:numId w:val="1"/>
        </w:numPr>
      </w:pPr>
      <w:hyperlink r:id="rId11" w:history="1">
        <w:r w:rsidR="00B26376" w:rsidRPr="00CC1E25">
          <w:rPr>
            <w:rStyle w:val="Hyperlink"/>
          </w:rPr>
          <w:t>http://www.laborrights.org/</w:t>
        </w:r>
      </w:hyperlink>
    </w:p>
    <w:p w:rsidR="00B26376" w:rsidRDefault="004F1342" w:rsidP="00B26376">
      <w:pPr>
        <w:pStyle w:val="ListParagraph"/>
        <w:numPr>
          <w:ilvl w:val="1"/>
          <w:numId w:val="1"/>
        </w:numPr>
      </w:pPr>
      <w:hyperlink r:id="rId12" w:history="1">
        <w:r w:rsidR="00B26376" w:rsidRPr="00CC1E25">
          <w:rPr>
            <w:rStyle w:val="Hyperlink"/>
          </w:rPr>
          <w:t>http://www.corporatewatch.org/</w:t>
        </w:r>
      </w:hyperlink>
    </w:p>
    <w:p w:rsidR="00B26376" w:rsidRDefault="004F1342" w:rsidP="00B26376">
      <w:pPr>
        <w:pStyle w:val="ListParagraph"/>
        <w:numPr>
          <w:ilvl w:val="1"/>
          <w:numId w:val="1"/>
        </w:numPr>
      </w:pPr>
      <w:hyperlink r:id="rId13" w:history="1">
        <w:r w:rsidR="00B26376" w:rsidRPr="00CC1E25">
          <w:rPr>
            <w:rStyle w:val="Hyperlink"/>
          </w:rPr>
          <w:t>http://www.business-humanrights.org/</w:t>
        </w:r>
      </w:hyperlink>
    </w:p>
    <w:p w:rsidR="00B26376" w:rsidRDefault="004F1342" w:rsidP="00B26376">
      <w:pPr>
        <w:pStyle w:val="ListParagraph"/>
        <w:numPr>
          <w:ilvl w:val="1"/>
          <w:numId w:val="1"/>
        </w:numPr>
      </w:pPr>
      <w:hyperlink r:id="rId14" w:history="1">
        <w:r w:rsidR="00B26376" w:rsidRPr="00CC1E25">
          <w:rPr>
            <w:rStyle w:val="Hyperlink"/>
          </w:rPr>
          <w:t>http://www.actionaid.org.uk/</w:t>
        </w:r>
      </w:hyperlink>
    </w:p>
    <w:p w:rsidR="00B26376" w:rsidRDefault="004F1342" w:rsidP="00B26376">
      <w:pPr>
        <w:pStyle w:val="ListParagraph"/>
        <w:numPr>
          <w:ilvl w:val="1"/>
          <w:numId w:val="1"/>
        </w:numPr>
      </w:pPr>
      <w:hyperlink r:id="rId15" w:history="1">
        <w:r w:rsidR="00B26376" w:rsidRPr="00CC1E25">
          <w:rPr>
            <w:rStyle w:val="Hyperlink"/>
          </w:rPr>
          <w:t>http://www.peta.org.uk/</w:t>
        </w:r>
      </w:hyperlink>
    </w:p>
    <w:p w:rsidR="00B26376" w:rsidRDefault="004F1342" w:rsidP="00B26376">
      <w:pPr>
        <w:pStyle w:val="ListParagraph"/>
        <w:numPr>
          <w:ilvl w:val="1"/>
          <w:numId w:val="1"/>
        </w:numPr>
      </w:pPr>
      <w:hyperlink r:id="rId16" w:history="1">
        <w:r w:rsidR="00B26376" w:rsidRPr="00CC1E25">
          <w:rPr>
            <w:rStyle w:val="Hyperlink"/>
          </w:rPr>
          <w:t>http://www.change.org/en-GB</w:t>
        </w:r>
      </w:hyperlink>
    </w:p>
    <w:p w:rsidR="00B26376" w:rsidRDefault="004F1342" w:rsidP="00B26376">
      <w:pPr>
        <w:pStyle w:val="ListParagraph"/>
        <w:numPr>
          <w:ilvl w:val="1"/>
          <w:numId w:val="1"/>
        </w:numPr>
      </w:pPr>
      <w:hyperlink r:id="rId17" w:history="1">
        <w:r w:rsidR="00B26376" w:rsidRPr="00CC1E25">
          <w:rPr>
            <w:rStyle w:val="Hyperlink"/>
          </w:rPr>
          <w:t>http://cms.iuf.org/</w:t>
        </w:r>
      </w:hyperlink>
    </w:p>
    <w:p w:rsidR="00B26376" w:rsidRDefault="004F1342" w:rsidP="00B26376">
      <w:pPr>
        <w:pStyle w:val="ListParagraph"/>
        <w:numPr>
          <w:ilvl w:val="1"/>
          <w:numId w:val="1"/>
        </w:numPr>
      </w:pPr>
      <w:hyperlink r:id="rId18" w:history="1">
        <w:r w:rsidR="00B26376" w:rsidRPr="00CC1E25">
          <w:rPr>
            <w:rStyle w:val="Hyperlink"/>
          </w:rPr>
          <w:t>http://www.labourbehindthelabel.org/</w:t>
        </w:r>
      </w:hyperlink>
    </w:p>
    <w:p w:rsidR="00B26376" w:rsidRDefault="004F1342" w:rsidP="00B26376">
      <w:pPr>
        <w:pStyle w:val="ListParagraph"/>
        <w:numPr>
          <w:ilvl w:val="1"/>
          <w:numId w:val="1"/>
        </w:numPr>
      </w:pPr>
      <w:hyperlink r:id="rId19" w:history="1">
        <w:r w:rsidR="00B26376" w:rsidRPr="00CC1E25">
          <w:rPr>
            <w:rStyle w:val="Hyperlink"/>
          </w:rPr>
          <w:t>http://www.nfuonline.com/home/</w:t>
        </w:r>
      </w:hyperlink>
    </w:p>
    <w:p w:rsidR="00B26376" w:rsidRDefault="00B26376" w:rsidP="00B26376">
      <w:pPr>
        <w:pStyle w:val="ListParagraph"/>
        <w:numPr>
          <w:ilvl w:val="0"/>
          <w:numId w:val="1"/>
        </w:numPr>
      </w:pPr>
      <w:r>
        <w:t>The above websites are primarily useful for larger companies, particularly those that are international. For smaller companies (and for larger companies, in addition to the sites listed above), generic search terms and UK news sites are utilised:</w:t>
      </w:r>
    </w:p>
    <w:p w:rsidR="00B26376" w:rsidRDefault="004F1342" w:rsidP="00B26376">
      <w:pPr>
        <w:pStyle w:val="ListParagraph"/>
        <w:numPr>
          <w:ilvl w:val="1"/>
          <w:numId w:val="1"/>
        </w:numPr>
      </w:pPr>
      <w:hyperlink r:id="rId20" w:history="1">
        <w:r w:rsidR="00B26376" w:rsidRPr="00CC1E25">
          <w:rPr>
            <w:rStyle w:val="Hyperlink"/>
          </w:rPr>
          <w:t>http://www.theguardian.com/uk</w:t>
        </w:r>
      </w:hyperlink>
    </w:p>
    <w:p w:rsidR="00B26376" w:rsidRDefault="00B26376" w:rsidP="00B26376">
      <w:pPr>
        <w:pStyle w:val="ListParagraph"/>
        <w:numPr>
          <w:ilvl w:val="1"/>
          <w:numId w:val="1"/>
        </w:numPr>
      </w:pPr>
      <w:r>
        <w:t xml:space="preserve">Search terms include: ‘company name’ + allegations; ‘company name’ + concerns; ‘company name’ + human rights; ‘company name’ + boycott; ‘company name’ + environment; ‘company name’ + fined; ‘company name’ + NUS. </w:t>
      </w:r>
    </w:p>
    <w:p w:rsidR="00B26376" w:rsidRDefault="00B26376" w:rsidP="00B26376">
      <w:pPr>
        <w:ind w:left="1080"/>
      </w:pPr>
    </w:p>
    <w:p w:rsidR="00B26376" w:rsidRPr="00EE68CC" w:rsidRDefault="00B26376" w:rsidP="00B26376">
      <w:pPr>
        <w:ind w:left="360"/>
      </w:pPr>
      <w:r>
        <w:t xml:space="preserve">It should be noted that the above lists and search terms are not exhaustive. However, it is accepted that if the above screening process has not identified any </w:t>
      </w:r>
      <w:r>
        <w:lastRenderedPageBreak/>
        <w:t xml:space="preserve">issues of potential concern then due diligence </w:t>
      </w:r>
      <w:r w:rsidR="00870B8C">
        <w:t xml:space="preserve">can be considered to have been undertaken. </w:t>
      </w:r>
    </w:p>
    <w:p w:rsidR="00DA5849" w:rsidRDefault="00DA5849" w:rsidP="00D77B0B">
      <w:pPr>
        <w:pStyle w:val="1NUSbodycopy"/>
      </w:pPr>
    </w:p>
    <w:p w:rsidR="000C2488" w:rsidRDefault="000C2488" w:rsidP="00D77B0B">
      <w:pPr>
        <w:pStyle w:val="1NUSbodycopy"/>
      </w:pPr>
      <w:r>
        <w:br w:type="page"/>
      </w:r>
    </w:p>
    <w:sectPr w:rsidR="000C2488" w:rsidSect="00DA5849">
      <w:headerReference w:type="default" r:id="rId21"/>
      <w:headerReference w:type="first" r:id="rId22"/>
      <w:pgSz w:w="11900" w:h="16840"/>
      <w:pgMar w:top="1134" w:right="1985" w:bottom="2552"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42" w:rsidRDefault="004F1342">
      <w:r>
        <w:separator/>
      </w:r>
    </w:p>
  </w:endnote>
  <w:endnote w:type="continuationSeparator" w:id="0">
    <w:p w:rsidR="004F1342" w:rsidRDefault="004F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42" w:rsidRDefault="004F1342">
      <w:r>
        <w:separator/>
      </w:r>
    </w:p>
  </w:footnote>
  <w:footnote w:type="continuationSeparator" w:id="0">
    <w:p w:rsidR="004F1342" w:rsidRDefault="004F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49" w:rsidRDefault="00B26376">
    <w:pPr>
      <w:pStyle w:val="Header"/>
    </w:pPr>
    <w:r>
      <w:rPr>
        <w:noProof/>
        <w:lang w:val="en-GB" w:eastAsia="en-GB"/>
      </w:rPr>
      <w:drawing>
        <wp:anchor distT="0" distB="0" distL="114300" distR="114300" simplePos="0" relativeHeight="251657216" behindDoc="1" locked="1" layoutInCell="1" allowOverlap="1">
          <wp:simplePos x="0" y="0"/>
          <wp:positionH relativeFrom="column">
            <wp:posOffset>-546100</wp:posOffset>
          </wp:positionH>
          <wp:positionV relativeFrom="page">
            <wp:posOffset>-3175</wp:posOffset>
          </wp:positionV>
          <wp:extent cx="7569200" cy="10693400"/>
          <wp:effectExtent l="0" t="0" r="0" b="0"/>
          <wp:wrapNone/>
          <wp:docPr id="9" name="Picture 9" descr="base 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e n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0B" w:rsidRDefault="00B26376">
    <w:pPr>
      <w:pStyle w:val="Header"/>
    </w:pPr>
    <w:r>
      <w:rPr>
        <w:noProof/>
        <w:lang w:val="en-GB" w:eastAsia="en-GB"/>
      </w:rPr>
      <w:drawing>
        <wp:anchor distT="0" distB="0" distL="114300" distR="114300" simplePos="0" relativeHeight="251658240" behindDoc="1" locked="1" layoutInCell="1" allowOverlap="1">
          <wp:simplePos x="0" y="0"/>
          <wp:positionH relativeFrom="column">
            <wp:posOffset>-616585</wp:posOffset>
          </wp:positionH>
          <wp:positionV relativeFrom="page">
            <wp:posOffset>-16510</wp:posOffset>
          </wp:positionV>
          <wp:extent cx="7639685" cy="10810875"/>
          <wp:effectExtent l="0" t="0" r="0" b="9525"/>
          <wp:wrapNone/>
          <wp:docPr id="11" name="Picture 11" descr="NUSSL letterhead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SSL letterhead 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685" cy="1081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D5E"/>
    <w:multiLevelType w:val="hybridMultilevel"/>
    <w:tmpl w:val="26BC463E"/>
    <w:lvl w:ilvl="0" w:tplc="E340D0B4">
      <w:numFmt w:val="bullet"/>
      <w:lvlText w:val="-"/>
      <w:lvlJc w:val="left"/>
      <w:pPr>
        <w:ind w:left="720" w:hanging="360"/>
      </w:pPr>
      <w:rPr>
        <w:rFonts w:ascii="Verdana" w:eastAsiaTheme="minorHAns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CE"/>
    <w:rsid w:val="0004307B"/>
    <w:rsid w:val="000C2488"/>
    <w:rsid w:val="0011070F"/>
    <w:rsid w:val="00213608"/>
    <w:rsid w:val="00427302"/>
    <w:rsid w:val="004A0724"/>
    <w:rsid w:val="004F1342"/>
    <w:rsid w:val="00560F79"/>
    <w:rsid w:val="006074CE"/>
    <w:rsid w:val="00870B8C"/>
    <w:rsid w:val="008F3BAA"/>
    <w:rsid w:val="009174C1"/>
    <w:rsid w:val="009558E3"/>
    <w:rsid w:val="00964A15"/>
    <w:rsid w:val="00A55A21"/>
    <w:rsid w:val="00B26376"/>
    <w:rsid w:val="00BC5090"/>
    <w:rsid w:val="00C41AF6"/>
    <w:rsid w:val="00C672BA"/>
    <w:rsid w:val="00D602F5"/>
    <w:rsid w:val="00D77B0B"/>
    <w:rsid w:val="00DA5849"/>
    <w:rsid w:val="00F31DB2"/>
    <w:rsid w:val="00F82AF0"/>
    <w:rsid w:val="00F97398"/>
    <w:rsid w:val="00FE2E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D52D0CEB-B45A-4D66-9A70-FB77816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7C"/>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styleId="ListParagraph">
    <w:name w:val="List Paragraph"/>
    <w:basedOn w:val="Normal"/>
    <w:uiPriority w:val="34"/>
    <w:qFormat/>
    <w:rsid w:val="00B26376"/>
    <w:pPr>
      <w:ind w:left="720"/>
      <w:contextualSpacing/>
    </w:pPr>
    <w:rPr>
      <w:rFonts w:eastAsia="Calibri"/>
      <w:lang w:val="en-GB"/>
    </w:rPr>
  </w:style>
  <w:style w:type="paragraph" w:customStyle="1" w:styleId="1NUSbodycopy">
    <w:name w:val="1 NUS body copy"/>
    <w:basedOn w:val="Normal"/>
    <w:qFormat/>
    <w:rsid w:val="00D77B0B"/>
    <w:pPr>
      <w:spacing w:line="280" w:lineRule="exact"/>
    </w:pPr>
    <w:rPr>
      <w:sz w:val="18"/>
      <w:szCs w:val="18"/>
    </w:rPr>
  </w:style>
  <w:style w:type="character" w:styleId="Hyperlink">
    <w:name w:val="Hyperlink"/>
    <w:rsid w:val="00B26376"/>
    <w:rPr>
      <w:color w:val="0000FF"/>
      <w:u w:val="single"/>
    </w:rPr>
  </w:style>
  <w:style w:type="table" w:styleId="TableGrid">
    <w:name w:val="Table Grid"/>
    <w:basedOn w:val="TableNormal"/>
    <w:uiPriority w:val="59"/>
    <w:rsid w:val="004A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rporatecritic.org/home.aspx" TargetMode="External"/><Relationship Id="rId13" Type="http://schemas.openxmlformats.org/officeDocument/2006/relationships/hyperlink" Target="http://www.business-humanrights.org/" TargetMode="External"/><Relationship Id="rId18" Type="http://schemas.openxmlformats.org/officeDocument/2006/relationships/hyperlink" Target="http://www.labourbehindthelabel.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ck2.companieshouse.gov.uk//wcframe?name=accessCompanyInfo" TargetMode="External"/><Relationship Id="rId12" Type="http://schemas.openxmlformats.org/officeDocument/2006/relationships/hyperlink" Target="http://www.corporatewatch.org/" TargetMode="External"/><Relationship Id="rId17" Type="http://schemas.openxmlformats.org/officeDocument/2006/relationships/hyperlink" Target="http://cms.iuf.org/" TargetMode="External"/><Relationship Id="rId2" Type="http://schemas.openxmlformats.org/officeDocument/2006/relationships/styles" Target="styles.xml"/><Relationship Id="rId16" Type="http://schemas.openxmlformats.org/officeDocument/2006/relationships/hyperlink" Target="http://www.change.org/en-GB" TargetMode="External"/><Relationship Id="rId20" Type="http://schemas.openxmlformats.org/officeDocument/2006/relationships/hyperlink" Target="http://www.theguardian.com/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orright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eta.org.uk/" TargetMode="External"/><Relationship Id="rId23" Type="http://schemas.openxmlformats.org/officeDocument/2006/relationships/fontTable" Target="fontTable.xml"/><Relationship Id="rId10" Type="http://schemas.openxmlformats.org/officeDocument/2006/relationships/hyperlink" Target="http://www.corporations.org/corplist.html" TargetMode="External"/><Relationship Id="rId19" Type="http://schemas.openxmlformats.org/officeDocument/2006/relationships/hyperlink" Target="http://www.nfuonline.com/home/" TargetMode="External"/><Relationship Id="rId4" Type="http://schemas.openxmlformats.org/officeDocument/2006/relationships/webSettings" Target="webSettings.xml"/><Relationship Id="rId9" Type="http://schemas.openxmlformats.org/officeDocument/2006/relationships/hyperlink" Target="http://www.ethicalconsumer.org/" TargetMode="External"/><Relationship Id="rId14" Type="http://schemas.openxmlformats.org/officeDocument/2006/relationships/hyperlink" Target="http://www.actionaid.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2937</CharactersWithSpaces>
  <SharedDoc>false</SharedDoc>
  <HLinks>
    <vt:vector size="12" baseType="variant">
      <vt:variant>
        <vt:i4>4849749</vt:i4>
      </vt:variant>
      <vt:variant>
        <vt:i4>-1</vt:i4>
      </vt:variant>
      <vt:variant>
        <vt:i4>2057</vt:i4>
      </vt:variant>
      <vt:variant>
        <vt:i4>1</vt:i4>
      </vt:variant>
      <vt:variant>
        <vt:lpwstr>base no logo</vt:lpwstr>
      </vt:variant>
      <vt:variant>
        <vt:lpwstr/>
      </vt:variant>
      <vt:variant>
        <vt:i4>5570593</vt:i4>
      </vt:variant>
      <vt:variant>
        <vt:i4>-1</vt:i4>
      </vt:variant>
      <vt:variant>
        <vt:i4>2059</vt:i4>
      </vt:variant>
      <vt:variant>
        <vt:i4>1</vt:i4>
      </vt:variant>
      <vt:variant>
        <vt:lpwstr>NUSSL letterhead base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Thomas</dc:creator>
  <cp:lastModifiedBy>Sophie Sharp</cp:lastModifiedBy>
  <cp:revision>6</cp:revision>
  <dcterms:created xsi:type="dcterms:W3CDTF">2013-11-15T10:21:00Z</dcterms:created>
  <dcterms:modified xsi:type="dcterms:W3CDTF">2016-02-17T09:06:00Z</dcterms:modified>
</cp:coreProperties>
</file>